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
        </w:rPr>
      </w:pPr>
    </w:p>
    <w:p>
      <w:pPr>
        <w:spacing w:line="525" w:lineRule="exact"/>
        <w:jc w:val="center"/>
        <w:rPr>
          <w:rFonts w:hint="eastAsia" w:ascii="黑体" w:hAnsi="黑体" w:eastAsia="黑体"/>
          <w:sz w:val="30"/>
        </w:rPr>
      </w:pPr>
      <w:r>
        <w:rPr>
          <w:rFonts w:hint="eastAsia" w:ascii="方正小标宋简体" w:hAnsi="方正小标宋简体" w:eastAsia="方正小标宋简体"/>
          <w:sz w:val="44"/>
        </w:rPr>
        <w:t>2026年度厦门市尚文实验学校单位预算</w:t>
      </w:r>
    </w:p>
    <w:p>
      <w:pPr>
        <w:spacing w:line="525" w:lineRule="exact"/>
        <w:jc w:val="center"/>
        <w:rPr>
          <w:rFonts w:hint="eastAsia" w:ascii="黑体" w:hAnsi="黑体" w:eastAsia="黑体"/>
          <w:sz w:val="30"/>
        </w:rPr>
      </w:pPr>
    </w:p>
    <w:p>
      <w:pPr>
        <w:spacing w:line="525" w:lineRule="exact"/>
        <w:jc w:val="center"/>
        <w:rPr>
          <w:rFonts w:hint="eastAsia" w:ascii="黑体" w:hAnsi="黑体" w:eastAsia="黑体"/>
          <w:sz w:val="32"/>
        </w:rPr>
      </w:pPr>
      <w:r>
        <w:rPr>
          <w:rFonts w:hint="eastAsia" w:ascii="黑体" w:hAnsi="黑体" w:eastAsia="黑体"/>
          <w:sz w:val="32"/>
        </w:rPr>
        <w:t>目　　录</w:t>
      </w:r>
    </w:p>
    <w:p>
      <w:pPr>
        <w:spacing w:line="555" w:lineRule="exact"/>
        <w:jc w:val="both"/>
        <w:rPr>
          <w:rFonts w:hint="eastAsia" w:ascii="仿宋" w:hAnsi="仿宋" w:eastAsia="仿宋"/>
          <w:sz w:val="32"/>
        </w:rPr>
      </w:pPr>
      <w:r>
        <w:rPr>
          <w:rFonts w:hint="eastAsia" w:ascii="黑体" w:hAnsi="黑体" w:eastAsia="黑体"/>
          <w:sz w:val="32"/>
        </w:rPr>
        <w:t xml:space="preserve">　　第一部分 </w:t>
      </w:r>
      <w:r>
        <w:rPr>
          <w:rFonts w:ascii="Calibri" w:hAnsi="Calibri" w:eastAsia="黑体" w:cs="Calibri"/>
          <w:sz w:val="32"/>
        </w:rPr>
        <w:t> </w:t>
      </w:r>
      <w:r>
        <w:rPr>
          <w:rFonts w:hint="eastAsia" w:ascii="黑体" w:hAnsi="黑体" w:eastAsia="黑体"/>
          <w:sz w:val="32"/>
        </w:rPr>
        <w:t xml:space="preserve"> 单位概况</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一、单位主要职责</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二、单位基本情况</w:t>
      </w:r>
    </w:p>
    <w:p>
      <w:pPr>
        <w:spacing w:line="555" w:lineRule="exact"/>
        <w:jc w:val="both"/>
        <w:rPr>
          <w:rFonts w:hint="eastAsia" w:ascii="黑体" w:hAnsi="黑体" w:eastAsia="黑体"/>
          <w:sz w:val="32"/>
        </w:rPr>
      </w:pPr>
      <w:r>
        <w:rPr>
          <w:rFonts w:hint="eastAsia" w:ascii="仿宋_GB2312" w:hAnsi="仿宋_GB2312" w:eastAsia="仿宋_GB2312"/>
          <w:sz w:val="32"/>
        </w:rPr>
        <w:t>　　三、单位主要工作任务</w:t>
      </w:r>
    </w:p>
    <w:p>
      <w:pPr>
        <w:spacing w:line="555" w:lineRule="exact"/>
        <w:jc w:val="both"/>
        <w:rPr>
          <w:rFonts w:hint="eastAsia" w:ascii="黑体" w:hAnsi="黑体" w:eastAsia="黑体"/>
          <w:sz w:val="32"/>
        </w:rPr>
      </w:pPr>
      <w:r>
        <w:rPr>
          <w:rFonts w:hint="eastAsia" w:ascii="黑体" w:hAnsi="黑体" w:eastAsia="黑体"/>
          <w:sz w:val="32"/>
        </w:rPr>
        <w:t xml:space="preserve">　　第二部分 </w:t>
      </w:r>
      <w:r>
        <w:rPr>
          <w:rFonts w:ascii="Calibri" w:hAnsi="Calibri" w:eastAsia="黑体" w:cs="Calibri"/>
          <w:sz w:val="32"/>
        </w:rPr>
        <w:t> </w:t>
      </w:r>
      <w:r>
        <w:rPr>
          <w:rFonts w:hint="eastAsia" w:ascii="黑体" w:hAnsi="黑体" w:eastAsia="黑体"/>
          <w:sz w:val="32"/>
        </w:rPr>
        <w:t xml:space="preserve"> 2026年单位预算说明</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一、2026年单位预算收支总体情况</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二、一般公共预算财政拨款支出预算情况</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三、政府性基金预算财政拨款支出情况</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四、“三公”经费财政拨款预算情况</w:t>
      </w:r>
    </w:p>
    <w:p>
      <w:pPr>
        <w:spacing w:line="555" w:lineRule="exact"/>
        <w:jc w:val="both"/>
        <w:rPr>
          <w:rFonts w:hint="eastAsia" w:ascii="黑体" w:hAnsi="黑体" w:eastAsia="黑体"/>
          <w:sz w:val="32"/>
        </w:rPr>
      </w:pPr>
      <w:r>
        <w:rPr>
          <w:rFonts w:hint="eastAsia" w:ascii="仿宋_GB2312" w:hAnsi="仿宋_GB2312" w:eastAsia="仿宋_GB2312"/>
          <w:sz w:val="32"/>
        </w:rPr>
        <w:t>　　五、其他重要事项的情况说明</w:t>
      </w:r>
    </w:p>
    <w:p>
      <w:pPr>
        <w:spacing w:line="555" w:lineRule="exact"/>
        <w:jc w:val="both"/>
        <w:rPr>
          <w:rFonts w:hint="eastAsia" w:ascii="黑体" w:hAnsi="黑体" w:eastAsia="黑体"/>
          <w:sz w:val="32"/>
        </w:rPr>
      </w:pPr>
      <w:r>
        <w:rPr>
          <w:rFonts w:hint="eastAsia" w:ascii="黑体" w:hAnsi="黑体" w:eastAsia="黑体"/>
          <w:sz w:val="32"/>
        </w:rPr>
        <w:t xml:space="preserve">　　第三部分 </w:t>
      </w:r>
      <w:r>
        <w:rPr>
          <w:rFonts w:ascii="Calibri" w:hAnsi="Calibri" w:eastAsia="黑体" w:cs="Calibri"/>
          <w:sz w:val="32"/>
        </w:rPr>
        <w:t> </w:t>
      </w:r>
      <w:r>
        <w:rPr>
          <w:rFonts w:hint="eastAsia" w:ascii="黑体" w:hAnsi="黑体" w:eastAsia="黑体"/>
          <w:sz w:val="32"/>
        </w:rPr>
        <w:t xml:space="preserve"> 名词解释</w:t>
      </w:r>
    </w:p>
    <w:p>
      <w:pPr>
        <w:spacing w:line="555" w:lineRule="exact"/>
        <w:jc w:val="both"/>
        <w:rPr>
          <w:rFonts w:hint="eastAsia" w:ascii="黑体" w:hAnsi="黑体" w:eastAsia="黑体"/>
          <w:sz w:val="32"/>
        </w:rPr>
      </w:pPr>
      <w:r>
        <w:rPr>
          <w:rFonts w:hint="eastAsia" w:ascii="黑体" w:hAnsi="黑体" w:eastAsia="黑体"/>
          <w:sz w:val="32"/>
        </w:rPr>
        <w:t xml:space="preserve">　　第四部分 </w:t>
      </w:r>
      <w:r>
        <w:rPr>
          <w:rFonts w:ascii="Calibri" w:hAnsi="Calibri" w:eastAsia="黑体" w:cs="Calibri"/>
          <w:sz w:val="32"/>
        </w:rPr>
        <w:t> </w:t>
      </w:r>
      <w:r>
        <w:rPr>
          <w:rFonts w:hint="eastAsia" w:ascii="黑体" w:hAnsi="黑体" w:eastAsia="黑体"/>
          <w:sz w:val="32"/>
        </w:rPr>
        <w:t xml:space="preserve"> 2026年单位预算附表</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一、部门收支预算总体情况表</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二、部门收入预算总体情况表</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三、部门支出预算总体情况表</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四、财政拨款收支预算总体情况表</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五、 一般公共预算支出情况表</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六、一般公共预算基本支出情况表（经济分类款级科目）</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七、一般公共预算“三公”经费支出情况表</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八、政府性基金预算支出情况表</w:t>
      </w:r>
    </w:p>
    <w:p>
      <w:pPr>
        <w:spacing w:line="555" w:lineRule="exact"/>
        <w:ind w:firstLine="640"/>
        <w:jc w:val="both"/>
        <w:rPr>
          <w:rFonts w:hint="eastAsia" w:ascii="仿宋_GB2312" w:hAnsi="仿宋_GB2312" w:eastAsia="仿宋_GB2312"/>
          <w:sz w:val="32"/>
        </w:rPr>
      </w:pPr>
      <w:r>
        <w:rPr>
          <w:rFonts w:hint="eastAsia" w:ascii="仿宋_GB2312" w:hAnsi="仿宋_GB2312" w:eastAsia="仿宋_GB2312"/>
          <w:sz w:val="32"/>
        </w:rPr>
        <w:t>九、区对镇（街）转移支付支出预算表</w:t>
      </w:r>
    </w:p>
    <w:p>
      <w:pPr>
        <w:spacing w:line="555" w:lineRule="exact"/>
        <w:ind w:firstLine="640"/>
        <w:jc w:val="both"/>
        <w:rPr>
          <w:rFonts w:hint="eastAsia" w:ascii="仿宋_GB2312" w:hAnsi="仿宋_GB2312" w:eastAsia="仿宋_GB2312"/>
          <w:sz w:val="32"/>
        </w:rPr>
      </w:pPr>
      <w:r>
        <w:rPr>
          <w:rFonts w:hint="eastAsia" w:ascii="仿宋_GB2312" w:hAnsi="仿宋_GB2312" w:eastAsia="仿宋_GB2312"/>
          <w:sz w:val="32"/>
        </w:rPr>
        <w:t>十、二级项目绩效目标表</w:t>
      </w:r>
    </w:p>
    <w:p>
      <w:pPr>
        <w:spacing w:line="555" w:lineRule="exact"/>
        <w:ind w:left="20"/>
        <w:jc w:val="center"/>
        <w:rPr>
          <w:rFonts w:hint="eastAsia" w:ascii="黑体" w:hAnsi="黑体" w:eastAsia="黑体"/>
          <w:sz w:val="32"/>
        </w:rPr>
      </w:pPr>
      <w:r>
        <w:rPr>
          <w:rFonts w:hint="eastAsia" w:ascii="黑体" w:hAnsi="黑体" w:eastAsia="黑体"/>
          <w:sz w:val="32"/>
        </w:rPr>
        <w:t>第一部分  单位概况</w:t>
      </w:r>
    </w:p>
    <w:p>
      <w:pPr>
        <w:keepNext w:val="0"/>
        <w:keepLines w:val="0"/>
        <w:pageBreakBefore w:val="0"/>
        <w:widowControl w:val="0"/>
        <w:kinsoku/>
        <w:wordWrap/>
        <w:overflowPunct/>
        <w:topLinePunct w:val="0"/>
        <w:autoSpaceDE w:val="0"/>
        <w:autoSpaceDN w:val="0"/>
        <w:bidi w:val="0"/>
        <w:adjustRightInd w:val="0"/>
        <w:snapToGrid/>
        <w:spacing w:line="540" w:lineRule="exact"/>
        <w:jc w:val="both"/>
        <w:textAlignment w:val="auto"/>
        <w:rPr>
          <w:rFonts w:ascii="仿宋_GB2312仿宋alt" w:hAnsi="仿宋_GB2312仿宋alt" w:eastAsia="Times New Roman"/>
          <w:sz w:val="32"/>
        </w:rPr>
      </w:pPr>
      <w:r>
        <w:rPr>
          <w:rFonts w:hint="eastAsia" w:ascii="黑体" w:hAnsi="黑体" w:eastAsia="黑体"/>
          <w:sz w:val="32"/>
        </w:rPr>
        <w:t>　　一、单位主要职责</w:t>
      </w:r>
    </w:p>
    <w:p>
      <w:pPr>
        <w:keepNext w:val="0"/>
        <w:keepLines w:val="0"/>
        <w:pageBreakBefore w:val="0"/>
        <w:widowControl w:val="0"/>
        <w:kinsoku/>
        <w:wordWrap/>
        <w:overflowPunct/>
        <w:topLinePunct w:val="0"/>
        <w:autoSpaceDE w:val="0"/>
        <w:autoSpaceDN w:val="0"/>
        <w:bidi w:val="0"/>
        <w:adjustRightInd w:val="0"/>
        <w:snapToGrid/>
        <w:spacing w:line="540" w:lineRule="exact"/>
        <w:jc w:val="both"/>
        <w:textAlignment w:val="auto"/>
        <w:rPr>
          <w:rFonts w:hint="eastAsia" w:ascii="仿宋_GB2312" w:hAnsi="仿宋_GB2312" w:eastAsia="仿宋_GB2312"/>
          <w:sz w:val="32"/>
        </w:rPr>
      </w:pPr>
      <w:r>
        <w:rPr>
          <w:rFonts w:hint="eastAsia" w:ascii="仿宋_GB2312" w:hAnsi="仿宋_GB2312" w:eastAsia="仿宋_GB2312"/>
          <w:sz w:val="32"/>
        </w:rPr>
        <w:t>　　厦门市尚文实验学校的主要职责是：</w:t>
      </w:r>
    </w:p>
    <w:p>
      <w:pPr>
        <w:keepNext w:val="0"/>
        <w:keepLines w:val="0"/>
        <w:pageBreakBefore w:val="0"/>
        <w:widowControl w:val="0"/>
        <w:kinsoku/>
        <w:wordWrap/>
        <w:overflowPunct/>
        <w:topLinePunct w:val="0"/>
        <w:autoSpaceDE w:val="0"/>
        <w:autoSpaceDN w:val="0"/>
        <w:bidi w:val="0"/>
        <w:adjustRightInd w:val="0"/>
        <w:snapToGrid/>
        <w:spacing w:line="540" w:lineRule="exact"/>
        <w:jc w:val="both"/>
        <w:textAlignment w:val="auto"/>
        <w:rPr>
          <w:rFonts w:hint="eastAsia" w:ascii="仿宋_GB2312" w:hAnsi="仿宋_GB2312" w:eastAsia="仿宋_GB2312"/>
          <w:color w:val="auto"/>
          <w:sz w:val="32"/>
        </w:rPr>
      </w:pPr>
      <w:r>
        <w:rPr>
          <w:rFonts w:hint="eastAsia" w:ascii="仿宋_GB2312" w:hAnsi="仿宋_GB2312" w:eastAsia="仿宋_GB2312"/>
          <w:sz w:val="32"/>
        </w:rPr>
        <w:t>　　（一）</w:t>
      </w:r>
      <w:r>
        <w:rPr>
          <w:rFonts w:hint="eastAsia" w:ascii="仿宋_GB2312" w:hAnsi="仿宋_GB2312" w:eastAsia="仿宋_GB2312"/>
          <w:color w:val="auto"/>
          <w:sz w:val="32"/>
        </w:rPr>
        <w:t>实施小学义务教育、初中义务教育，促进基础教育发展。</w:t>
      </w:r>
    </w:p>
    <w:p>
      <w:pPr>
        <w:keepNext w:val="0"/>
        <w:keepLines w:val="0"/>
        <w:pageBreakBefore w:val="0"/>
        <w:widowControl w:val="0"/>
        <w:kinsoku/>
        <w:wordWrap/>
        <w:overflowPunct/>
        <w:topLinePunct w:val="0"/>
        <w:autoSpaceDE w:val="0"/>
        <w:autoSpaceDN w:val="0"/>
        <w:bidi w:val="0"/>
        <w:adjustRightInd w:val="0"/>
        <w:snapToGrid/>
        <w:spacing w:line="540" w:lineRule="exact"/>
        <w:jc w:val="both"/>
        <w:textAlignment w:val="auto"/>
        <w:rPr>
          <w:rFonts w:hint="eastAsia" w:ascii="黑体" w:hAnsi="黑体" w:eastAsia="黑体"/>
          <w:sz w:val="32"/>
        </w:rPr>
      </w:pPr>
      <w:r>
        <w:rPr>
          <w:rFonts w:hint="eastAsia" w:ascii="仿宋_GB2312" w:hAnsi="仿宋_GB2312" w:eastAsia="仿宋_GB2312"/>
          <w:color w:val="auto"/>
          <w:sz w:val="32"/>
        </w:rPr>
        <w:t>　　（二）小学学历教育，初中学历教育</w:t>
      </w:r>
      <w:r>
        <w:rPr>
          <w:rFonts w:hint="eastAsia" w:ascii="仿宋_GB2312" w:hAnsi="仿宋_GB2312" w:eastAsia="仿宋_GB2312"/>
          <w:sz w:val="32"/>
        </w:rPr>
        <w:t>。</w:t>
      </w:r>
    </w:p>
    <w:p>
      <w:pPr>
        <w:keepNext w:val="0"/>
        <w:keepLines w:val="0"/>
        <w:pageBreakBefore w:val="0"/>
        <w:widowControl w:val="0"/>
        <w:kinsoku/>
        <w:wordWrap/>
        <w:overflowPunct/>
        <w:topLinePunct w:val="0"/>
        <w:autoSpaceDE w:val="0"/>
        <w:autoSpaceDN w:val="0"/>
        <w:bidi w:val="0"/>
        <w:adjustRightInd w:val="0"/>
        <w:snapToGrid/>
        <w:spacing w:line="540" w:lineRule="exact"/>
        <w:jc w:val="both"/>
        <w:textAlignment w:val="auto"/>
        <w:rPr>
          <w:rFonts w:ascii="仿宋_GB2312仿宋alt" w:hAnsi="仿宋_GB2312仿宋alt" w:eastAsia="Times New Roman"/>
          <w:sz w:val="32"/>
        </w:rPr>
      </w:pPr>
      <w:r>
        <w:rPr>
          <w:rFonts w:hint="eastAsia" w:ascii="黑体" w:hAnsi="黑体" w:eastAsia="黑体"/>
          <w:sz w:val="32"/>
        </w:rPr>
        <w:t>　　二、单位基本情况</w:t>
      </w:r>
    </w:p>
    <w:p>
      <w:pPr>
        <w:keepNext w:val="0"/>
        <w:keepLines w:val="0"/>
        <w:pageBreakBefore w:val="0"/>
        <w:widowControl w:val="0"/>
        <w:kinsoku/>
        <w:wordWrap/>
        <w:overflowPunct/>
        <w:topLinePunct w:val="0"/>
        <w:autoSpaceDE w:val="0"/>
        <w:autoSpaceDN w:val="0"/>
        <w:bidi w:val="0"/>
        <w:adjustRightInd w:val="0"/>
        <w:snapToGrid/>
        <w:spacing w:line="540" w:lineRule="exact"/>
        <w:jc w:val="both"/>
        <w:textAlignment w:val="auto"/>
        <w:rPr>
          <w:rFonts w:hint="eastAsia" w:ascii="仿宋_GB2312" w:hAnsi="仿宋_GB2312" w:eastAsia="仿宋_GB2312"/>
        </w:rPr>
      </w:pPr>
      <w:r>
        <w:rPr>
          <w:rFonts w:hint="eastAsia" w:ascii="仿宋_GB2312" w:hAnsi="仿宋_GB2312" w:eastAsia="仿宋_GB2312"/>
          <w:sz w:val="32"/>
        </w:rPr>
        <w:t>　　厦门市尚文实验学校</w:t>
      </w:r>
      <w:r>
        <w:rPr>
          <w:rFonts w:hint="eastAsia" w:ascii="仿宋_GB2312" w:hAnsi="仿宋_GB2312" w:eastAsia="仿宋_GB2312"/>
          <w:color w:val="auto"/>
          <w:sz w:val="32"/>
        </w:rPr>
        <w:t>内设6个处室/科室，</w:t>
      </w:r>
      <w:r>
        <w:rPr>
          <w:rFonts w:hint="eastAsia" w:ascii="仿宋_GB2312" w:hAnsi="仿宋_GB2312" w:eastAsia="仿宋_GB2312"/>
          <w:sz w:val="32"/>
        </w:rPr>
        <w:t>包括</w:t>
      </w:r>
      <w:r>
        <w:rPr>
          <w:rFonts w:hint="eastAsia" w:ascii="仿宋_GB2312" w:hAnsi="仿宋_GB2312" w:eastAsia="仿宋_GB2312"/>
        </w:rPr>
        <w:t>：</w:t>
      </w:r>
      <w:r>
        <w:rPr>
          <w:rFonts w:hint="eastAsia" w:ascii="仿宋_GB2312" w:hAnsi="仿宋_GB2312" w:eastAsia="仿宋_GB2312"/>
          <w:color w:val="auto"/>
          <w:sz w:val="32"/>
        </w:rPr>
        <w:t>办公室、德育处、教务处、总务处、教研室、保卫科。</w:t>
      </w:r>
    </w:p>
    <w:p>
      <w:pPr>
        <w:keepNext w:val="0"/>
        <w:keepLines w:val="0"/>
        <w:pageBreakBefore w:val="0"/>
        <w:widowControl w:val="0"/>
        <w:kinsoku/>
        <w:wordWrap/>
        <w:overflowPunct/>
        <w:topLinePunct w:val="0"/>
        <w:autoSpaceDE w:val="0"/>
        <w:autoSpaceDN w:val="0"/>
        <w:bidi w:val="0"/>
        <w:adjustRightInd w:val="0"/>
        <w:snapToGrid/>
        <w:spacing w:line="540" w:lineRule="exact"/>
        <w:jc w:val="both"/>
        <w:textAlignment w:val="auto"/>
        <w:rPr>
          <w:rFonts w:ascii="仿宋_GB2312仿宋alt" w:hAnsi="仿宋_GB2312仿宋alt" w:eastAsia="Times New Roman"/>
          <w:color w:val="auto"/>
          <w:sz w:val="32"/>
        </w:rPr>
      </w:pPr>
      <w:r>
        <w:rPr>
          <w:rFonts w:hint="eastAsia" w:ascii="黑体" w:hAnsi="黑体" w:eastAsia="黑体"/>
          <w:color w:val="auto"/>
          <w:sz w:val="32"/>
        </w:rPr>
        <w:t>　　三、单位主要工作任务</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both"/>
        <w:textAlignment w:val="auto"/>
        <w:rPr>
          <w:rFonts w:hint="eastAsia" w:ascii="仿宋_GB2312" w:hAnsi="仿宋_GB2312" w:eastAsia="仿宋_GB2312"/>
          <w:sz w:val="32"/>
        </w:rPr>
      </w:pPr>
      <w:r>
        <w:rPr>
          <w:rFonts w:hint="eastAsia" w:ascii="仿宋_GB2312" w:hAnsi="仿宋_GB2312" w:eastAsia="仿宋_GB2312"/>
          <w:sz w:val="32"/>
        </w:rPr>
        <w:t>2026年，厦门市尚文实验学校主要任务是：凝聚全体师生力量，秉持务实创新作风，聚焦提质增效核心目标，扎实推进各项教育教学工作，全力推动学校高质量发展。</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both"/>
        <w:textAlignment w:val="auto"/>
        <w:rPr>
          <w:rFonts w:hint="eastAsia" w:ascii="仿宋_GB2312" w:hAnsi="仿宋_GB2312" w:eastAsia="仿宋_GB2312"/>
          <w:sz w:val="32"/>
        </w:rPr>
      </w:pPr>
      <w:r>
        <w:rPr>
          <w:rFonts w:hint="eastAsia" w:ascii="仿宋_GB2312" w:hAnsi="仿宋_GB2312" w:eastAsia="仿宋_GB2312"/>
          <w:sz w:val="32"/>
        </w:rPr>
        <w:t>围绕上述任务，重点抓好以下工作：一是深耕师资建设，优化培养机制，深化分层校本培训，搭建教研成长平台，扩容名师工作室，培育区级以上骨干教师，提升教师综合素养与教科研能力。二是深化五育融合，构建“五育并举”育人新样态，以精细管理为保障，丰富学科竞赛、升级社团课程，精准对接学生个性化需求，助力学生全面发展。三是严守安全底线，抓实综治与意识形态双安全，创新宣教形式，强化协同联动，提升师生安防能力，守护校园稳定有序。四是推进智慧教育，迭代硬件设施，搭建一体化智慧教学平台，开展教师智慧教学培训，推动信息技术与课堂深度融合，以科技赋能提质增效。</w:t>
      </w:r>
    </w:p>
    <w:p>
      <w:pPr>
        <w:keepNext w:val="0"/>
        <w:keepLines w:val="0"/>
        <w:pageBreakBefore w:val="0"/>
        <w:widowControl w:val="0"/>
        <w:kinsoku/>
        <w:wordWrap/>
        <w:overflowPunct/>
        <w:topLinePunct w:val="0"/>
        <w:autoSpaceDE w:val="0"/>
        <w:autoSpaceDN w:val="0"/>
        <w:bidi w:val="0"/>
        <w:adjustRightInd w:val="0"/>
        <w:snapToGrid/>
        <w:spacing w:line="540" w:lineRule="exact"/>
        <w:ind w:firstLine="640" w:firstLineChars="200"/>
        <w:jc w:val="both"/>
        <w:textAlignment w:val="auto"/>
        <w:rPr>
          <w:rFonts w:hint="eastAsia" w:ascii="仿宋_GB2312" w:hAnsi="仿宋_GB2312" w:eastAsia="仿宋_GB2312"/>
          <w:sz w:val="32"/>
        </w:rPr>
      </w:pPr>
      <w:r>
        <w:rPr>
          <w:rFonts w:hint="eastAsia" w:ascii="仿宋_GB2312" w:hAnsi="仿宋_GB2312" w:eastAsia="仿宋_GB2312"/>
          <w:sz w:val="32"/>
        </w:rPr>
        <w:t>新的一年，学校将直面不足、真抓实干，广纳各界智慧，持续提升办学治校水平，凝心聚力办好有温度、有品质的人民满意教育。</w:t>
      </w:r>
    </w:p>
    <w:p>
      <w:pPr>
        <w:spacing w:line="555" w:lineRule="exact"/>
        <w:ind w:left="20"/>
        <w:jc w:val="center"/>
        <w:rPr>
          <w:rFonts w:hint="eastAsia" w:ascii="黑体" w:hAnsi="黑体" w:eastAsia="黑体"/>
          <w:sz w:val="32"/>
        </w:rPr>
      </w:pPr>
      <w:r>
        <w:rPr>
          <w:rFonts w:hint="eastAsia" w:ascii="黑体" w:hAnsi="黑体" w:eastAsia="黑体"/>
          <w:sz w:val="32"/>
        </w:rPr>
        <w:t>第二部分  2026年单位预算说明</w:t>
      </w:r>
    </w:p>
    <w:p>
      <w:pPr>
        <w:spacing w:line="555" w:lineRule="exact"/>
        <w:jc w:val="both"/>
        <w:rPr>
          <w:rFonts w:ascii="仿宋_GB2312仿宋alt" w:hAnsi="仿宋_GB2312仿宋alt" w:eastAsia="Times New Roman"/>
          <w:sz w:val="32"/>
        </w:rPr>
      </w:pPr>
      <w:r>
        <w:rPr>
          <w:rFonts w:hint="eastAsia" w:ascii="黑体" w:hAnsi="黑体" w:eastAsia="黑体"/>
          <w:sz w:val="32"/>
        </w:rPr>
        <w:t>　　一、2026年单位预算收支总体情况</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根据预算管理的有关规定，单位的全部收入和支出均纳入部门预算管理。</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（一）厦门市尚文实验学校2026年收入预算为5,848.36万元，比2025年预算数增加392.64万元，增长7.20％，具体情况如下：</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1.财政拨款收入5,848.36万元，其中一般公共预算拨款收入5,848.36万元，政府性基金拨款收入0.00万元，国有资本经营预算拨款收入0.00万元；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2.财政专户管理资金收入0.00万元；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3.事业收入0.00万元；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4.事业单位经营收入0.00万元；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5.上级补助收入0.00万元；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6.附属单位上缴收入0.00万元；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7.其他收入0.00万元；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8.上年结转结余0.00万元。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（二）厦门市尚文实验学校2026年支出预算为5,848.36万元（不含市对区转移支付项目），比2025年预算数增加392.64万元，增长7.20％，具体情况如下：</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1.财政拨款基本支出5,848.36万元，其中，人员支出4,795.69万元，公用支出1,052.67万元；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2.财政拨款项目支出0.00万元；</w:t>
      </w:r>
    </w:p>
    <w:p>
      <w:pPr>
        <w:spacing w:line="555" w:lineRule="exact"/>
        <w:jc w:val="both"/>
        <w:rPr>
          <w:rFonts w:ascii="仿宋_GB2312仿宋alt" w:hAnsi="仿宋_GB2312仿宋alt" w:eastAsia="Times New Roman"/>
          <w:sz w:val="32"/>
        </w:rPr>
      </w:pPr>
      <w:r>
        <w:rPr>
          <w:rFonts w:hint="eastAsia" w:ascii="仿宋_GB2312" w:hAnsi="仿宋_GB2312" w:eastAsia="仿宋_GB2312"/>
          <w:sz w:val="32"/>
        </w:rPr>
        <w:t>　　3.非财政拨款支出0.00万元。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（三）厦门市尚文实验学校2026年区对镇（街）转移支付项目预算为0.00万元。</w:t>
      </w:r>
    </w:p>
    <w:p>
      <w:pPr>
        <w:spacing w:line="555" w:lineRule="exact"/>
        <w:jc w:val="both"/>
        <w:rPr>
          <w:rFonts w:ascii="仿宋_GB2312仿宋alt" w:hAnsi="仿宋_GB2312仿宋alt" w:eastAsia="Times New Roman"/>
          <w:sz w:val="32"/>
        </w:rPr>
      </w:pPr>
      <w:r>
        <w:rPr>
          <w:rFonts w:hint="eastAsia" w:ascii="黑体" w:hAnsi="黑体" w:eastAsia="黑体"/>
          <w:sz w:val="32"/>
        </w:rPr>
        <w:t>　　二、一般公共预算财政拨款支出预算情况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2026年度一般公共预算支出5,848.36万元（不含市对区转移支付项目），比2025年预算数增加392.64万元，增长7.20%，主要是由于</w:t>
      </w:r>
      <w:r>
        <w:rPr>
          <w:rFonts w:hint="eastAsia" w:ascii="仿宋_GB2312" w:hAnsi="仿宋_GB2312" w:eastAsia="仿宋_GB2312" w:cs="Times New Roman"/>
          <w:sz w:val="32"/>
        </w:rPr>
        <w:t>学生数</w:t>
      </w:r>
      <w:r>
        <w:rPr>
          <w:rFonts w:hint="eastAsia" w:ascii="仿宋_GB2312" w:hAnsi="仿宋_GB2312" w:eastAsia="仿宋_GB2312" w:cs="Times New Roman"/>
          <w:sz w:val="32"/>
          <w:lang w:eastAsia="zh-CN"/>
        </w:rPr>
        <w:t>和</w:t>
      </w:r>
      <w:r>
        <w:rPr>
          <w:rFonts w:hint="eastAsia" w:ascii="仿宋_GB2312" w:hAnsi="仿宋_GB2312" w:eastAsia="仿宋_GB2312" w:cs="Times New Roman"/>
          <w:sz w:val="32"/>
        </w:rPr>
        <w:t>教师</w:t>
      </w:r>
      <w:r>
        <w:rPr>
          <w:rFonts w:hint="eastAsia" w:ascii="仿宋_GB2312" w:hAnsi="仿宋_GB2312" w:eastAsia="仿宋_GB2312" w:cs="Times New Roman"/>
          <w:sz w:val="32"/>
          <w:lang w:eastAsia="zh-CN"/>
        </w:rPr>
        <w:t>数都</w:t>
      </w:r>
      <w:bookmarkStart w:id="0" w:name="_GoBack"/>
      <w:bookmarkEnd w:id="0"/>
      <w:r>
        <w:rPr>
          <w:rFonts w:hint="eastAsia" w:ascii="仿宋_GB2312" w:hAnsi="仿宋_GB2312" w:eastAsia="仿宋_GB2312" w:cs="Times New Roman"/>
          <w:sz w:val="32"/>
        </w:rPr>
        <w:t>增加</w:t>
      </w:r>
      <w:r>
        <w:rPr>
          <w:rFonts w:hint="eastAsia" w:ascii="仿宋_GB2312" w:hAnsi="仿宋_GB2312" w:eastAsia="仿宋_GB2312"/>
          <w:sz w:val="32"/>
        </w:rPr>
        <w:t>。支出项目(按项级科目分类统计)包括：</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1.教育支出（类）普通教育（款）小学教育（项）1,662.71万元。</w:t>
      </w:r>
      <w:r>
        <w:rPr>
          <w:rFonts w:hint="eastAsia" w:ascii="仿宋" w:hAnsi="仿宋" w:eastAsia="仿宋"/>
          <w:color w:val="auto"/>
          <w:sz w:val="32"/>
        </w:rPr>
        <w:t>主要用于小学部人员经费和公用经费等支出</w:t>
      </w:r>
      <w:r>
        <w:rPr>
          <w:rFonts w:hint="eastAsia" w:ascii="仿宋_GB2312" w:hAnsi="仿宋_GB2312" w:eastAsia="仿宋_GB2312"/>
          <w:sz w:val="32"/>
        </w:rPr>
        <w:t>。</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2.教育支出（类）普通教育（款）初中教育（项）3,333.33万元。</w:t>
      </w:r>
      <w:r>
        <w:rPr>
          <w:rFonts w:hint="eastAsia" w:ascii="仿宋" w:hAnsi="仿宋" w:eastAsia="仿宋"/>
          <w:color w:val="auto"/>
          <w:sz w:val="32"/>
        </w:rPr>
        <w:t>主要用于初中部人员经费和公用经费等支出</w:t>
      </w:r>
      <w:r>
        <w:rPr>
          <w:rFonts w:hint="eastAsia" w:ascii="仿宋_GB2312" w:hAnsi="仿宋_GB2312" w:eastAsia="仿宋_GB2312"/>
          <w:sz w:val="32"/>
        </w:rPr>
        <w:t>。</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3.社会保障和就业支出（类）行政事业单位养老支出（款）事业单位离退休（项）14.64万元。主要用于退休人员生活补贴等支出。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4.社会保障和就业支出（类）行政事业单位养老支出（款）机关事业单位基本养老保险缴费支出（项）364.31万元。主要</w:t>
      </w:r>
      <w:r>
        <w:rPr>
          <w:rFonts w:hint="eastAsia" w:ascii="仿宋" w:hAnsi="仿宋" w:eastAsia="仿宋"/>
          <w:color w:val="auto"/>
          <w:sz w:val="32"/>
        </w:rPr>
        <w:t>用于事业单位基本养老保险支出</w:t>
      </w:r>
      <w:r>
        <w:rPr>
          <w:rFonts w:hint="eastAsia" w:ascii="仿宋_GB2312" w:hAnsi="仿宋_GB2312" w:eastAsia="仿宋_GB2312"/>
          <w:sz w:val="32"/>
        </w:rPr>
        <w:t>。</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5.社会保障和就业支出（类）行政事业单位养老支出（款）机关事业单位职业年金缴费支出（项）194.16万元。</w:t>
      </w:r>
      <w:r>
        <w:rPr>
          <w:rFonts w:hint="eastAsia" w:ascii="仿宋" w:hAnsi="仿宋" w:eastAsia="仿宋"/>
          <w:color w:val="auto"/>
          <w:sz w:val="32"/>
        </w:rPr>
        <w:t>主要用于事业单位职业年金缴费支出</w:t>
      </w:r>
      <w:r>
        <w:rPr>
          <w:rFonts w:hint="eastAsia" w:ascii="仿宋_GB2312" w:hAnsi="仿宋_GB2312" w:eastAsia="仿宋_GB2312"/>
          <w:sz w:val="32"/>
        </w:rPr>
        <w:t>。</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6.卫生健康支出（类）行政事业单位医疗（款）事业单位医疗（项）155.97万元。</w:t>
      </w:r>
      <w:r>
        <w:rPr>
          <w:rFonts w:hint="eastAsia" w:ascii="仿宋" w:hAnsi="仿宋" w:eastAsia="仿宋"/>
          <w:color w:val="auto"/>
          <w:sz w:val="32"/>
        </w:rPr>
        <w:t>主要用于事业单位医疗支出</w:t>
      </w:r>
      <w:r>
        <w:rPr>
          <w:rFonts w:hint="eastAsia" w:ascii="仿宋_GB2312" w:hAnsi="仿宋_GB2312" w:eastAsia="仿宋_GB2312"/>
          <w:sz w:val="32"/>
        </w:rPr>
        <w:t>。</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7.卫生健康支出（类）行政事业单位医疗（款）其他行政事业单位医疗支出（项）79.69万元。</w:t>
      </w:r>
      <w:r>
        <w:rPr>
          <w:rFonts w:hint="eastAsia" w:ascii="仿宋" w:hAnsi="仿宋" w:eastAsia="仿宋"/>
          <w:color w:val="auto"/>
          <w:sz w:val="32"/>
        </w:rPr>
        <w:t>主要用于其他事业单位医疗支出</w:t>
      </w:r>
      <w:r>
        <w:rPr>
          <w:rFonts w:hint="eastAsia" w:ascii="仿宋_GB2312" w:hAnsi="仿宋_GB2312" w:eastAsia="仿宋_GB2312"/>
          <w:sz w:val="32"/>
        </w:rPr>
        <w:t>。</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8.住房保障支出（类）住房改革支出（款）购房补贴（项）43.55万元。</w:t>
      </w:r>
      <w:r>
        <w:rPr>
          <w:rFonts w:hint="eastAsia" w:ascii="仿宋" w:hAnsi="仿宋" w:eastAsia="仿宋"/>
          <w:color w:val="auto"/>
          <w:sz w:val="32"/>
        </w:rPr>
        <w:t>主要用于教师住房货币化补贴支出</w:t>
      </w:r>
      <w:r>
        <w:rPr>
          <w:rFonts w:hint="eastAsia" w:ascii="仿宋_GB2312" w:hAnsi="仿宋_GB2312" w:eastAsia="仿宋_GB2312"/>
          <w:sz w:val="32"/>
        </w:rPr>
        <w:t>。</w:t>
      </w:r>
    </w:p>
    <w:p>
      <w:pPr>
        <w:spacing w:line="555" w:lineRule="exact"/>
        <w:jc w:val="both"/>
        <w:rPr>
          <w:rFonts w:ascii="仿宋_GB2312仿宋alt" w:hAnsi="仿宋_GB2312仿宋alt" w:eastAsia="Times New Roman"/>
          <w:sz w:val="32"/>
        </w:rPr>
      </w:pPr>
      <w:r>
        <w:rPr>
          <w:rFonts w:hint="eastAsia" w:ascii="黑体" w:hAnsi="黑体" w:eastAsia="黑体"/>
          <w:sz w:val="32"/>
        </w:rPr>
        <w:t>　　三、政府性基金预算财政拨款支出情况</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2026年度政府性基金支出0.00万元（不含市对区转移支付项目），比2025年预算数增加0.00万元，增长0%，</w:t>
      </w:r>
      <w:r>
        <w:rPr>
          <w:rFonts w:hint="eastAsia" w:ascii="仿宋" w:hAnsi="仿宋" w:eastAsia="仿宋"/>
          <w:color w:val="auto"/>
          <w:sz w:val="32"/>
        </w:rPr>
        <w:t>主要原因是：</w:t>
      </w:r>
      <w:r>
        <w:rPr>
          <w:rFonts w:hint="eastAsia" w:ascii="仿宋_GB2312" w:hAnsi="仿宋_GB2312" w:eastAsia="仿宋_GB2312"/>
          <w:sz w:val="32"/>
        </w:rPr>
        <w:t>2026年度</w:t>
      </w:r>
      <w:r>
        <w:rPr>
          <w:rFonts w:hint="eastAsia" w:ascii="仿宋" w:hAnsi="仿宋" w:eastAsia="仿宋"/>
          <w:color w:val="auto"/>
          <w:sz w:val="32"/>
        </w:rPr>
        <w:t>本单位没有政府性基金预算支出安排</w:t>
      </w:r>
      <w:r>
        <w:rPr>
          <w:rFonts w:hint="eastAsia" w:ascii="仿宋_GB2312" w:hAnsi="仿宋_GB2312" w:eastAsia="仿宋_GB2312"/>
          <w:sz w:val="32"/>
        </w:rPr>
        <w:t>。</w:t>
      </w:r>
    </w:p>
    <w:p>
      <w:pPr>
        <w:spacing w:line="555" w:lineRule="exact"/>
        <w:jc w:val="both"/>
        <w:rPr>
          <w:rFonts w:ascii="仿宋_GB2312仿宋alt" w:hAnsi="仿宋_GB2312仿宋alt" w:eastAsia="Times New Roman"/>
          <w:sz w:val="32"/>
        </w:rPr>
      </w:pPr>
      <w:r>
        <w:rPr>
          <w:rFonts w:hint="eastAsia" w:ascii="黑体" w:hAnsi="黑体" w:eastAsia="黑体"/>
          <w:sz w:val="32"/>
        </w:rPr>
        <w:t>　　四、“三公”经费财政拨款预算情况</w:t>
      </w:r>
    </w:p>
    <w:p>
      <w:pPr>
        <w:spacing w:line="560" w:lineRule="exact"/>
        <w:ind w:firstLine="651"/>
        <w:jc w:val="both"/>
        <w:rPr>
          <w:rFonts w:hint="eastAsia" w:ascii="仿宋_GB2312" w:hAnsi="仿宋_GB2312" w:eastAsia="仿宋_GB2312"/>
          <w:sz w:val="32"/>
        </w:rPr>
      </w:pPr>
      <w:r>
        <w:rPr>
          <w:rFonts w:hint="eastAsia" w:ascii="仿宋_GB2312" w:hAnsi="仿宋_GB2312" w:eastAsia="仿宋_GB2312"/>
          <w:sz w:val="32"/>
        </w:rPr>
        <w:t>厦门市尚文实验学校单位2026年“三公”经费财政拨款预算数为0.00万元，其中：因公出国（境）经费0.00万元，公务接待费0.00万元，公务用车购置及运行费0.00万元。具体情况如下：</w:t>
      </w:r>
    </w:p>
    <w:p>
      <w:pPr>
        <w:spacing w:line="560" w:lineRule="exact"/>
        <w:ind w:firstLine="651"/>
        <w:jc w:val="both"/>
        <w:rPr>
          <w:rFonts w:hint="eastAsia" w:ascii="仿宋_GB2312" w:hAnsi="仿宋_GB2312" w:eastAsia="仿宋_GB2312"/>
          <w:sz w:val="32"/>
        </w:rPr>
      </w:pPr>
      <w:r>
        <w:rPr>
          <w:rFonts w:hint="eastAsia" w:ascii="楷体_GB2312" w:hAnsi="楷体_GB2312" w:eastAsia="楷体_GB2312"/>
          <w:sz w:val="32"/>
        </w:rPr>
        <w:t>（一）因公出国（境）经费</w:t>
      </w:r>
    </w:p>
    <w:p>
      <w:pPr>
        <w:spacing w:line="560" w:lineRule="exact"/>
        <w:jc w:val="both"/>
        <w:rPr>
          <w:rFonts w:hint="eastAsia" w:ascii="楷体" w:hAnsi="楷体" w:eastAsia="楷体"/>
          <w:sz w:val="32"/>
        </w:rPr>
      </w:pPr>
      <w:r>
        <w:rPr>
          <w:rFonts w:hint="eastAsia" w:ascii="仿宋_GB2312" w:hAnsi="仿宋_GB2312" w:eastAsia="仿宋_GB2312"/>
          <w:sz w:val="32"/>
        </w:rPr>
        <w:t>　　2026年预算安排0.00万元。</w:t>
      </w:r>
      <w:r>
        <w:rPr>
          <w:rFonts w:hint="eastAsia" w:ascii="仿宋_GB2312" w:hAnsi="??_GB2312" w:eastAsia="仿宋_GB2312"/>
          <w:sz w:val="32"/>
        </w:rPr>
        <w:t>与上年预算相比下降</w:t>
      </w:r>
      <w:r>
        <w:rPr>
          <w:rFonts w:ascii="仿宋_GB2312" w:hAnsi="??_GB2312" w:eastAsia="仿宋_GB2312"/>
          <w:color w:val="auto"/>
          <w:sz w:val="32"/>
        </w:rPr>
        <w:t>0%</w:t>
      </w:r>
      <w:r>
        <w:rPr>
          <w:rFonts w:hint="eastAsia" w:ascii="仿宋_GB2312" w:hAnsi="??_GB2312" w:eastAsia="仿宋_GB2312"/>
          <w:color w:val="auto"/>
          <w:sz w:val="32"/>
        </w:rPr>
        <w:t>。</w:t>
      </w:r>
      <w:r>
        <w:rPr>
          <w:rFonts w:hint="eastAsia" w:ascii="仿宋_GB2312" w:hAnsi="仿宋_GB2312" w:eastAsia="仿宋_GB2312"/>
          <w:color w:val="auto"/>
          <w:sz w:val="32"/>
        </w:rPr>
        <w:t>主要原因是本</w:t>
      </w:r>
      <w:r>
        <w:rPr>
          <w:rFonts w:hint="eastAsia" w:ascii="仿宋" w:hAnsi="仿宋" w:eastAsia="仿宋"/>
          <w:color w:val="auto"/>
          <w:sz w:val="32"/>
        </w:rPr>
        <w:t>年度无安排因公出国（境）活动，没有编制预算</w:t>
      </w:r>
      <w:r>
        <w:rPr>
          <w:rFonts w:hint="eastAsia" w:ascii="仿宋_GB2312" w:hAnsi="仿宋_GB2312" w:eastAsia="仿宋_GB2312"/>
        </w:rPr>
        <w:t>。</w:t>
      </w:r>
    </w:p>
    <w:p>
      <w:pPr>
        <w:spacing w:line="560" w:lineRule="exact"/>
        <w:jc w:val="both"/>
        <w:rPr>
          <w:rFonts w:hint="eastAsia" w:ascii="仿宋_GB2312" w:hAnsi="仿宋_GB2312" w:eastAsia="仿宋_GB2312"/>
          <w:sz w:val="32"/>
        </w:rPr>
      </w:pPr>
      <w:r>
        <w:rPr>
          <w:rFonts w:hint="eastAsia" w:ascii="楷体_GB2312" w:hAnsi="楷体_GB2312" w:eastAsia="楷体_GB2312"/>
          <w:sz w:val="32"/>
        </w:rPr>
        <w:t>　　（二）公务接待费</w:t>
      </w:r>
    </w:p>
    <w:p>
      <w:pPr>
        <w:spacing w:line="560" w:lineRule="exact"/>
        <w:jc w:val="both"/>
        <w:rPr>
          <w:rFonts w:hint="eastAsia" w:ascii="仿宋_GB2312" w:hAnsi="仿宋_GB2312" w:eastAsia="仿宋_GB2312"/>
          <w:sz w:val="32"/>
        </w:rPr>
      </w:pPr>
      <w:r>
        <w:rPr>
          <w:rFonts w:hint="eastAsia" w:ascii="仿宋_GB2312" w:hAnsi="仿宋_GB2312" w:eastAsia="仿宋_GB2312"/>
          <w:sz w:val="32"/>
        </w:rPr>
        <w:t>　　2026年预算安排0.00万元。</w:t>
      </w:r>
      <w:r>
        <w:rPr>
          <w:rFonts w:hint="eastAsia" w:ascii="仿宋_GB2312" w:hAnsi="??_GB2312" w:eastAsia="仿宋_GB2312"/>
          <w:sz w:val="32"/>
        </w:rPr>
        <w:t>与上年预算相比下降</w:t>
      </w:r>
      <w:r>
        <w:rPr>
          <w:rFonts w:ascii="仿宋_GB2312" w:hAnsi="??_GB2312" w:eastAsia="仿宋_GB2312"/>
          <w:sz w:val="32"/>
        </w:rPr>
        <w:t>0%</w:t>
      </w:r>
      <w:r>
        <w:rPr>
          <w:rFonts w:hint="eastAsia" w:ascii="仿宋_GB2312" w:hAnsi="??_GB2312" w:eastAsia="仿宋_GB2312"/>
          <w:sz w:val="32"/>
        </w:rPr>
        <w:t>，主要原因是</w:t>
      </w:r>
      <w:r>
        <w:rPr>
          <w:rFonts w:hint="eastAsia" w:ascii="仿宋" w:hAnsi="仿宋" w:eastAsia="仿宋"/>
          <w:color w:val="auto"/>
          <w:sz w:val="32"/>
        </w:rPr>
        <w:t>本年度无安排公务接待活动，没有编制预算</w:t>
      </w:r>
      <w:r>
        <w:rPr>
          <w:rFonts w:hint="eastAsia" w:ascii="仿宋_GB2312" w:hAnsi="仿宋_GB2312" w:eastAsia="仿宋_GB2312"/>
          <w:sz w:val="32"/>
        </w:rPr>
        <w:t>。</w:t>
      </w:r>
    </w:p>
    <w:p>
      <w:pPr>
        <w:spacing w:line="560" w:lineRule="exact"/>
        <w:jc w:val="both"/>
        <w:rPr>
          <w:rFonts w:hint="eastAsia" w:ascii="仿宋_GB2312" w:hAnsi="仿宋_GB2312" w:eastAsia="仿宋_GB2312"/>
          <w:sz w:val="32"/>
        </w:rPr>
      </w:pPr>
      <w:r>
        <w:rPr>
          <w:rFonts w:hint="eastAsia" w:ascii="楷体_GB2312" w:hAnsi="楷体_GB2312" w:eastAsia="楷体_GB2312"/>
          <w:sz w:val="32"/>
        </w:rPr>
        <w:t>　　（三）公务用车购置及运行费</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2026年预算安排0.00万元，其中：公务用车运行费0.00万元，公务用车购置费0.00万元。</w:t>
      </w:r>
      <w:r>
        <w:rPr>
          <w:rFonts w:hint="eastAsia" w:ascii="仿宋_GB2312" w:hAnsi="??_GB2312" w:eastAsia="仿宋_GB2312"/>
          <w:sz w:val="32"/>
        </w:rPr>
        <w:t>与上年预算相比下降</w:t>
      </w:r>
      <w:r>
        <w:rPr>
          <w:rFonts w:ascii="仿宋_GB2312" w:hAnsi="??_GB2312" w:eastAsia="仿宋_GB2312"/>
          <w:color w:val="auto"/>
          <w:sz w:val="32"/>
        </w:rPr>
        <w:t>0%</w:t>
      </w:r>
      <w:r>
        <w:rPr>
          <w:rFonts w:hint="eastAsia" w:ascii="仿宋_GB2312" w:hAnsi="??_GB2312" w:eastAsia="仿宋_GB2312"/>
          <w:color w:val="auto"/>
          <w:sz w:val="32"/>
        </w:rPr>
        <w:t>，主要</w:t>
      </w:r>
      <w:r>
        <w:rPr>
          <w:rFonts w:hint="eastAsia" w:ascii="仿宋_GB2312" w:hAnsi="??_GB2312" w:eastAsia="仿宋_GB2312"/>
          <w:sz w:val="32"/>
        </w:rPr>
        <w:t>原因是本单位没有公务车辆，</w:t>
      </w:r>
      <w:r>
        <w:rPr>
          <w:rFonts w:hint="eastAsia" w:ascii="仿宋" w:hAnsi="仿宋" w:eastAsia="仿宋"/>
          <w:color w:val="auto"/>
          <w:sz w:val="32"/>
        </w:rPr>
        <w:t>本年度没有编制</w:t>
      </w:r>
      <w:r>
        <w:rPr>
          <w:rFonts w:hint="eastAsia" w:ascii="仿宋_GB2312" w:hAnsi="??_GB2312" w:eastAsia="仿宋_GB2312"/>
          <w:sz w:val="32"/>
        </w:rPr>
        <w:t>公务用车购置及运行费</w:t>
      </w:r>
      <w:r>
        <w:rPr>
          <w:rFonts w:hint="eastAsia" w:ascii="仿宋" w:hAnsi="仿宋" w:eastAsia="仿宋"/>
          <w:color w:val="auto"/>
          <w:sz w:val="32"/>
        </w:rPr>
        <w:t>预算</w:t>
      </w:r>
      <w:r>
        <w:rPr>
          <w:rFonts w:hint="eastAsia" w:ascii="仿宋_GB2312" w:hAnsi="仿宋_GB2312" w:eastAsia="仿宋_GB2312"/>
          <w:sz w:val="32"/>
        </w:rPr>
        <w:t>。</w:t>
      </w:r>
    </w:p>
    <w:p>
      <w:pPr>
        <w:spacing w:line="555" w:lineRule="exact"/>
        <w:jc w:val="both"/>
        <w:rPr>
          <w:rFonts w:hint="eastAsia" w:ascii="华文仿宋" w:hAnsi="华文仿宋" w:eastAsia="华文仿宋"/>
          <w:sz w:val="32"/>
        </w:rPr>
      </w:pPr>
      <w:r>
        <w:rPr>
          <w:rFonts w:hint="eastAsia" w:ascii="黑体" w:hAnsi="黑体" w:eastAsia="黑体"/>
          <w:sz w:val="32"/>
        </w:rPr>
        <w:t>　　五、其他重要事项的情况说明</w:t>
      </w:r>
    </w:p>
    <w:p>
      <w:pPr>
        <w:spacing w:line="555" w:lineRule="exact"/>
        <w:jc w:val="both"/>
        <w:rPr>
          <w:rFonts w:ascii="仿宋_GB2312仿宋alt" w:hAnsi="仿宋_GB2312仿宋alt" w:eastAsia="Times New Roman"/>
          <w:sz w:val="32"/>
        </w:rPr>
      </w:pPr>
      <w:r>
        <w:rPr>
          <w:rFonts w:hint="eastAsia" w:ascii="华文仿宋" w:hAnsi="华文仿宋" w:eastAsia="华文仿宋"/>
          <w:sz w:val="32"/>
        </w:rPr>
        <w:t>　　</w:t>
      </w:r>
      <w:r>
        <w:rPr>
          <w:rFonts w:hint="eastAsia" w:ascii="楷体" w:hAnsi="楷体" w:eastAsia="楷体"/>
          <w:sz w:val="32"/>
        </w:rPr>
        <w:t>（一）机关运行经费</w:t>
      </w:r>
    </w:p>
    <w:p>
      <w:pPr>
        <w:spacing w:line="555" w:lineRule="exact"/>
        <w:jc w:val="both"/>
        <w:rPr>
          <w:rFonts w:hint="eastAsia" w:ascii="华文仿宋" w:hAnsi="华文仿宋" w:eastAsia="华文仿宋"/>
          <w:sz w:val="32"/>
        </w:rPr>
      </w:pPr>
      <w:r>
        <w:rPr>
          <w:rFonts w:hint="eastAsia" w:ascii="仿宋_GB2312" w:hAnsi="仿宋_GB2312" w:eastAsia="仿宋_GB2312"/>
          <w:sz w:val="32"/>
        </w:rPr>
        <w:t>　　2026年厦门市尚文实验学校的机关运行经费财政拨款预算0.00万元，比2025年预算减少（增加）0.00万元，下降（增长）0.00%。主要原因:本单位是事业单位，2026年没有机关运行经费预算。</w:t>
      </w:r>
    </w:p>
    <w:p>
      <w:pPr>
        <w:spacing w:line="555" w:lineRule="exact"/>
        <w:jc w:val="both"/>
        <w:rPr>
          <w:rFonts w:ascii="仿宋_GB2312仿宋alt" w:hAnsi="仿宋_GB2312仿宋alt" w:eastAsia="Times New Roman"/>
          <w:sz w:val="32"/>
        </w:rPr>
      </w:pPr>
      <w:r>
        <w:rPr>
          <w:rFonts w:hint="eastAsia" w:ascii="华文仿宋" w:hAnsi="华文仿宋" w:eastAsia="华文仿宋"/>
          <w:sz w:val="32"/>
        </w:rPr>
        <w:t>　　</w:t>
      </w:r>
      <w:r>
        <w:rPr>
          <w:rFonts w:hint="eastAsia" w:ascii="楷体" w:hAnsi="楷体" w:eastAsia="楷体"/>
          <w:sz w:val="32"/>
        </w:rPr>
        <w:t>（二）政府采购情况</w:t>
      </w:r>
    </w:p>
    <w:p>
      <w:pPr>
        <w:spacing w:line="555" w:lineRule="exact"/>
        <w:jc w:val="both"/>
        <w:rPr>
          <w:rFonts w:ascii="Dialog" w:hAnsi="Dialog" w:eastAsia="仿宋_GB2312"/>
          <w:sz w:val="32"/>
        </w:rPr>
      </w:pPr>
      <w:r>
        <w:rPr>
          <w:rFonts w:hint="eastAsia" w:ascii="仿宋_GB2312" w:hAnsi="仿宋_GB2312" w:eastAsia="仿宋_GB2312"/>
          <w:sz w:val="32"/>
        </w:rPr>
        <w:t>　　2026年厦门市尚文实验学校政府采购预算总额0.00万元，其中：政府采购货物预算0.00万元，政府采购工程预算0.00万元，政府采购服务预算0.00万元。说明:2026年本单位没有政府采购预算安排。</w:t>
      </w:r>
    </w:p>
    <w:p>
      <w:pPr>
        <w:spacing w:line="555" w:lineRule="exact"/>
        <w:jc w:val="both"/>
        <w:rPr>
          <w:rFonts w:ascii="仿宋_GB2312仿宋alt" w:hAnsi="仿宋_GB2312仿宋alt" w:eastAsia="Times New Roman"/>
          <w:sz w:val="32"/>
        </w:rPr>
      </w:pPr>
      <w:r>
        <w:rPr>
          <w:rFonts w:hint="eastAsia" w:ascii="Dialog" w:hAnsi="Dialog" w:eastAsia="仿宋_GB2312"/>
          <w:sz w:val="32"/>
        </w:rPr>
        <w:t>　　</w:t>
      </w:r>
      <w:r>
        <w:rPr>
          <w:rFonts w:hint="eastAsia" w:ascii="楷体" w:hAnsi="楷体" w:eastAsia="楷体"/>
          <w:sz w:val="32"/>
        </w:rPr>
        <w:t>（三）国有资产占有使用情况</w:t>
      </w:r>
    </w:p>
    <w:p>
      <w:pPr>
        <w:spacing w:line="555" w:lineRule="exact"/>
        <w:jc w:val="both"/>
        <w:rPr>
          <w:rFonts w:ascii="Dialog" w:hAnsi="Dialog" w:eastAsia="仿宋_GB2312"/>
          <w:sz w:val="32"/>
        </w:rPr>
      </w:pPr>
      <w:r>
        <w:rPr>
          <w:rFonts w:hint="eastAsia" w:ascii="仿宋_GB2312" w:hAnsi="仿宋_GB2312" w:eastAsia="仿宋_GB2312"/>
          <w:sz w:val="32"/>
        </w:rPr>
        <w:t>　　截至2025年12月31日，厦门市尚文实验学校所属各预算单位共有车辆0辆，单位价值100万元以上设备0台（套）。说</w:t>
      </w:r>
      <w:r>
        <w:rPr>
          <w:rFonts w:hint="eastAsia" w:ascii="仿宋" w:hAnsi="仿宋" w:eastAsia="仿宋"/>
          <w:color w:val="auto"/>
          <w:sz w:val="32"/>
        </w:rPr>
        <w:t>明：</w:t>
      </w:r>
      <w:r>
        <w:rPr>
          <w:rFonts w:hint="eastAsia" w:ascii="仿宋_GB2312" w:hAnsi="仿宋_GB2312" w:eastAsia="仿宋_GB2312"/>
          <w:sz w:val="32"/>
        </w:rPr>
        <w:t>本单位没有国有资产占有使用情况。</w:t>
      </w:r>
    </w:p>
    <w:p>
      <w:pPr>
        <w:spacing w:line="555" w:lineRule="exact"/>
        <w:jc w:val="both"/>
        <w:rPr>
          <w:rFonts w:ascii="仿宋_GB2312仿宋alt" w:hAnsi="仿宋_GB2312仿宋alt" w:eastAsia="Times New Roman"/>
          <w:sz w:val="32"/>
        </w:rPr>
      </w:pPr>
      <w:r>
        <w:rPr>
          <w:rFonts w:hint="eastAsia" w:ascii="Dialog" w:hAnsi="Dialog" w:eastAsia="仿宋_GB2312"/>
          <w:sz w:val="32"/>
        </w:rPr>
        <w:t>　　</w:t>
      </w:r>
      <w:r>
        <w:rPr>
          <w:rFonts w:hint="eastAsia" w:ascii="楷体" w:hAnsi="楷体" w:eastAsia="楷体"/>
          <w:sz w:val="32"/>
        </w:rPr>
        <w:t>（四）绩效目标设置情况</w:t>
      </w:r>
    </w:p>
    <w:p>
      <w:pPr>
        <w:spacing w:line="555" w:lineRule="exact"/>
        <w:ind w:firstLine="651"/>
        <w:jc w:val="both"/>
        <w:rPr>
          <w:rFonts w:hint="eastAsia" w:ascii="仿宋_GB2312" w:hAnsi="仿宋_GB2312" w:eastAsia="仿宋_GB2312"/>
          <w:sz w:val="32"/>
        </w:rPr>
      </w:pPr>
      <w:r>
        <w:rPr>
          <w:rFonts w:hint="eastAsia" w:ascii="仿宋_GB2312" w:hAnsi="仿宋_GB2312" w:eastAsia="仿宋_GB2312"/>
          <w:sz w:val="32"/>
        </w:rPr>
        <w:t>厦门市尚文实验学校2026年实行绩效目标管理的二级项目0个，涉及一般公共预算拨款0.00万元、政府性基金预算拨款0.00万元。</w:t>
      </w:r>
      <w:r>
        <w:rPr>
          <w:rFonts w:hint="eastAsia" w:ascii="仿宋" w:hAnsi="仿宋" w:eastAsia="仿宋"/>
          <w:color w:val="auto"/>
          <w:sz w:val="32"/>
        </w:rPr>
        <w:t>说明：</w:t>
      </w:r>
      <w:r>
        <w:rPr>
          <w:rFonts w:hint="eastAsia" w:ascii="仿宋_GB2312" w:hAnsi="仿宋_GB2312" w:eastAsia="仿宋_GB2312"/>
          <w:color w:val="auto"/>
          <w:sz w:val="32"/>
        </w:rPr>
        <w:t>本单位2026年没有项目预算安排</w:t>
      </w:r>
      <w:r>
        <w:rPr>
          <w:rFonts w:hint="eastAsia" w:ascii="仿宋_GB2312" w:hAnsi="仿宋_GB2312" w:eastAsia="仿宋_GB2312"/>
          <w:sz w:val="32"/>
        </w:rPr>
        <w:t>。</w:t>
      </w:r>
    </w:p>
    <w:p>
      <w:pPr>
        <w:pStyle w:val="10"/>
        <w:ind w:firstLine="651"/>
        <w:rPr>
          <w:sz w:val="32"/>
        </w:rPr>
      </w:pPr>
    </w:p>
    <w:p>
      <w:pPr>
        <w:spacing w:line="555" w:lineRule="exact"/>
        <w:ind w:left="20"/>
        <w:jc w:val="center"/>
        <w:rPr>
          <w:rFonts w:hint="eastAsia" w:ascii="黑体" w:hAnsi="黑体" w:eastAsia="黑体"/>
          <w:sz w:val="32"/>
        </w:rPr>
      </w:pPr>
      <w:r>
        <w:rPr>
          <w:rFonts w:hint="eastAsia" w:ascii="黑体" w:hAnsi="黑体" w:eastAsia="黑体"/>
          <w:sz w:val="32"/>
        </w:rPr>
        <w:t>第三部分  名词解释</w:t>
      </w:r>
    </w:p>
    <w:p>
      <w:pPr>
        <w:spacing w:line="555" w:lineRule="exact"/>
        <w:jc w:val="both"/>
        <w:rPr>
          <w:rFonts w:ascii="楷体_GB2312楷体alt" w:hAnsi="楷体_GB2312楷体alt" w:eastAsia="Times New Roman"/>
          <w:sz w:val="32"/>
        </w:rPr>
      </w:pPr>
      <w:r>
        <w:rPr>
          <w:rFonts w:hint="eastAsia" w:ascii="楷体_GB2312" w:hAnsi="楷体_GB2312" w:eastAsia="楷体_GB2312"/>
          <w:sz w:val="32"/>
        </w:rPr>
        <w:t>　　一、基本支出</w:t>
      </w:r>
      <w:r>
        <w:rPr>
          <w:rFonts w:hint="eastAsia" w:ascii="楷体" w:hAnsi="楷体" w:eastAsia="楷体"/>
          <w:sz w:val="32"/>
        </w:rPr>
        <w:t>：</w:t>
      </w:r>
      <w:r>
        <w:rPr>
          <w:rFonts w:hint="eastAsia" w:ascii="仿宋_GB2312" w:hAnsi="仿宋_GB2312" w:eastAsia="仿宋_GB2312"/>
          <w:sz w:val="32"/>
        </w:rPr>
        <w:t>指为保障机构正常运转、完成日常工作任务而发生的人员支出、对个人和家庭的补助支出和公用支出。</w:t>
      </w:r>
    </w:p>
    <w:p>
      <w:pPr>
        <w:spacing w:line="555" w:lineRule="exact"/>
        <w:jc w:val="both"/>
        <w:rPr>
          <w:rFonts w:ascii="楷体_GB2312楷体alt" w:hAnsi="楷体_GB2312楷体alt" w:eastAsia="Times New Roman"/>
          <w:sz w:val="32"/>
        </w:rPr>
      </w:pPr>
      <w:r>
        <w:rPr>
          <w:rFonts w:hint="eastAsia" w:ascii="楷体_GB2312" w:hAnsi="楷体_GB2312" w:eastAsia="楷体_GB2312"/>
          <w:sz w:val="32"/>
        </w:rPr>
        <w:t>　　二、项目支出：</w:t>
      </w:r>
      <w:r>
        <w:rPr>
          <w:rFonts w:hint="eastAsia" w:ascii="仿宋_GB2312" w:hAnsi="仿宋_GB2312" w:eastAsia="仿宋_GB2312"/>
          <w:sz w:val="32"/>
        </w:rPr>
        <w:t>指在基本支出之外为完成特定行政任务和事业发展目标所发生的支出，包括部门专项、发展经费和基建项目。</w:t>
      </w:r>
    </w:p>
    <w:p>
      <w:pPr>
        <w:spacing w:line="555" w:lineRule="exact"/>
        <w:jc w:val="both"/>
        <w:rPr>
          <w:rFonts w:ascii="楷体_GB2312楷体alt" w:hAnsi="楷体_GB2312楷体alt" w:eastAsia="Times New Roman"/>
          <w:sz w:val="32"/>
        </w:rPr>
      </w:pPr>
      <w:r>
        <w:rPr>
          <w:rFonts w:hint="eastAsia" w:ascii="楷体_GB2312" w:hAnsi="楷体_GB2312" w:eastAsia="楷体_GB2312"/>
          <w:sz w:val="32"/>
        </w:rPr>
        <w:t>　　三、“三公”经费：</w:t>
      </w:r>
      <w:r>
        <w:rPr>
          <w:rFonts w:hint="eastAsia" w:ascii="仿宋_GB2312" w:hAnsi="仿宋_GB2312" w:eastAsia="仿宋_GB2312"/>
          <w:sz w:val="32"/>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line="555" w:lineRule="exact"/>
        <w:jc w:val="both"/>
        <w:rPr>
          <w:rFonts w:ascii="楷体_GB2312楷体alt" w:hAnsi="楷体_GB2312楷体alt" w:eastAsia="Times New Roman"/>
          <w:sz w:val="32"/>
        </w:rPr>
      </w:pPr>
      <w:r>
        <w:rPr>
          <w:rFonts w:hint="eastAsia" w:ascii="楷体_GB2312" w:hAnsi="楷体_GB2312" w:eastAsia="楷体_GB2312"/>
          <w:sz w:val="32"/>
        </w:rPr>
        <w:t>　　四、机关运行经费：</w:t>
      </w:r>
      <w:r>
        <w:rPr>
          <w:rFonts w:hint="eastAsia" w:ascii="仿宋_GB2312" w:hAnsi="仿宋_GB2312" w:eastAsia="仿宋_GB2312"/>
          <w:sz w:val="32"/>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555" w:lineRule="exact"/>
        <w:ind w:firstLine="640"/>
        <w:jc w:val="both"/>
        <w:rPr>
          <w:rFonts w:hint="eastAsia" w:ascii="仿宋_GB2312" w:hAnsi="仿宋_GB2312" w:eastAsia="仿宋_GB2312"/>
          <w:sz w:val="32"/>
        </w:rPr>
      </w:pPr>
      <w:r>
        <w:rPr>
          <w:rFonts w:hint="eastAsia" w:ascii="楷体_GB2312" w:hAnsi="楷体_GB2312" w:eastAsia="楷体_GB2312"/>
          <w:sz w:val="32"/>
        </w:rPr>
        <w:t>五、其他名词解释。</w:t>
      </w:r>
      <w:r>
        <w:rPr>
          <w:rFonts w:hint="eastAsia" w:ascii="仿宋_GB2312" w:hAnsi="仿宋_GB2312" w:eastAsia="仿宋_GB2312"/>
          <w:sz w:val="32"/>
        </w:rPr>
        <w:t>无</w:t>
      </w:r>
    </w:p>
    <w:p>
      <w:pPr>
        <w:pStyle w:val="10"/>
        <w:ind w:firstLine="640"/>
        <w:rPr>
          <w:sz w:val="32"/>
        </w:rPr>
      </w:pPr>
    </w:p>
    <w:p>
      <w:pPr>
        <w:spacing w:line="555" w:lineRule="exact"/>
        <w:ind w:left="20"/>
        <w:jc w:val="center"/>
        <w:rPr>
          <w:rFonts w:hint="eastAsia" w:ascii="黑体" w:hAnsi="黑体" w:eastAsia="黑体"/>
          <w:sz w:val="32"/>
        </w:rPr>
      </w:pPr>
      <w:r>
        <w:rPr>
          <w:rFonts w:hint="eastAsia" w:ascii="黑体" w:hAnsi="黑体" w:eastAsia="黑体"/>
          <w:sz w:val="32"/>
        </w:rPr>
        <w:t>第四部分  2026年单位预算附表</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一、部门收支预算总体情况表</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二、部门收入预算总体情况表</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三、部门支出预算总体情况表</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四、财政拨款收支预算总体情况表</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五、一般公共预算支出情况表</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六、一般公共预算基本支出情况表（经济分类款级科目）</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七、一般公共预算“三公”经费支出情况表</w:t>
      </w:r>
    </w:p>
    <w:p>
      <w:pPr>
        <w:spacing w:line="540" w:lineRule="exact"/>
        <w:jc w:val="both"/>
        <w:rPr>
          <w:rFonts w:ascii="仿宋_GB2312仿宋alt" w:hAnsi="仿宋_GB2312仿宋alt" w:eastAsia="Times New Roman"/>
          <w:sz w:val="32"/>
        </w:rPr>
      </w:pPr>
      <w:r>
        <w:rPr>
          <w:rFonts w:hint="eastAsia" w:ascii="仿宋_GB2312" w:hAnsi="仿宋_GB2312" w:eastAsia="仿宋_GB2312"/>
          <w:sz w:val="32"/>
        </w:rPr>
        <w:t>　　八、政府性基金预算支出情况表</w:t>
      </w:r>
    </w:p>
    <w:p>
      <w:pPr>
        <w:spacing w:line="540"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九、区对镇（街）转移支付项目支出预算表</w:t>
      </w:r>
    </w:p>
    <w:p>
      <w:pPr>
        <w:spacing w:line="540"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十、二级项目绩效目标表</w:t>
      </w:r>
    </w:p>
    <w:sectPr>
      <w:footerReference r:id="rId3" w:type="default"/>
      <w:pgSz w:w="11905" w:h="16837"/>
      <w:pgMar w:top="1388" w:right="1559" w:bottom="1388" w:left="1559"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Light">
    <w:altName w:val="宋体"/>
    <w:panose1 w:val="02010600030101010101"/>
    <w:charset w:val="86"/>
    <w:family w:val="auto"/>
    <w:pitch w:val="default"/>
    <w:sig w:usb0="00000000" w:usb1="00000000" w:usb2="00000016" w:usb3="00000000" w:csb0="0004000F" w:csb1="00000000"/>
  </w:font>
  <w:font w:name="方正小标宋简体">
    <w:altName w:val="黑体"/>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仿宋alt">
    <w:altName w:val="Cambria"/>
    <w:panose1 w:val="00000000000000000000"/>
    <w:charset w:val="00"/>
    <w:family w:val="roman"/>
    <w:pitch w:val="default"/>
    <w:sig w:usb0="00000000" w:usb1="00000000" w:usb2="00000000" w:usb3="00000000" w:csb0="00000001" w:csb1="00000000"/>
  </w:font>
  <w:font w:name="仿宋_GB2312">
    <w:altName w:val="仿宋"/>
    <w:panose1 w:val="00000000000000000000"/>
    <w:charset w:val="86"/>
    <w:family w:val="roman"/>
    <w:pitch w:val="default"/>
    <w:sig w:usb0="00000000" w:usb1="00000000" w:usb2="00000010" w:usb3="00000000" w:csb0="00040000"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_GB2312">
    <w:altName w:val="Cambria"/>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Dialog">
    <w:altName w:val="Times New Roman"/>
    <w:panose1 w:val="00000000000000000000"/>
    <w:charset w:val="00"/>
    <w:family w:val="roman"/>
    <w:pitch w:val="default"/>
    <w:sig w:usb0="00000000" w:usb1="00000000" w:usb2="00000000" w:usb3="00000000" w:csb0="00000001" w:csb1="00000000"/>
  </w:font>
  <w:font w:name="楷体_GB2312楷体alt">
    <w:altName w:val="微软雅黑"/>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jc w:val="center"/>
      </w:trPr>
      <w:tc>
        <w:tcPr>
          <w:tcW w:w="3163" w:type="dxa"/>
          <w:tcBorders>
            <w:top w:val="nil"/>
            <w:left w:val="nil"/>
            <w:bottom w:val="nil"/>
            <w:right w:val="nil"/>
          </w:tcBorders>
          <w:shd w:val="clear" w:color="auto" w:fill="FFFFFF"/>
        </w:tcPr>
        <w:p/>
      </w:tc>
      <w:tc>
        <w:tcPr>
          <w:tcW w:w="3163" w:type="dxa"/>
          <w:tcBorders>
            <w:top w:val="nil"/>
            <w:left w:val="nil"/>
            <w:bottom w:val="nil"/>
            <w:right w:val="nil"/>
          </w:tcBorders>
          <w:shd w:val="clear" w:color="auto" w:fill="FFFFFF"/>
        </w:tcPr>
        <w:p>
          <w:pPr>
            <w:spacing w:line="320" w:lineRule="atLeast"/>
            <w:jc w:val="center"/>
            <w:rPr>
              <w:rFonts w:hint="eastAsia" w:ascii="宋体" w:hAnsi="宋体"/>
              <w:sz w:val="18"/>
            </w:rPr>
          </w:pPr>
          <w:r>
            <w:rPr>
              <w:rFonts w:hint="eastAsia" w:ascii="宋体" w:hAnsi="宋体"/>
              <w:sz w:val="18"/>
            </w:rPr>
            <w:fldChar w:fldCharType="begin"/>
          </w:r>
          <w:r>
            <w:rPr>
              <w:rFonts w:hint="eastAsia" w:ascii="宋体" w:hAnsi="宋体"/>
              <w:sz w:val="18"/>
            </w:rPr>
            <w:instrText xml:space="preserve">PAGE</w:instrText>
          </w:r>
          <w:r>
            <w:rPr>
              <w:rFonts w:hint="eastAsia" w:ascii="宋体" w:hAnsi="宋体"/>
              <w:sz w:val="18"/>
            </w:rPr>
            <w:fldChar w:fldCharType="separate"/>
          </w:r>
          <w:r>
            <w:rPr>
              <w:rFonts w:hint="eastAsia" w:ascii="宋体" w:hAnsi="宋体"/>
              <w:sz w:val="18"/>
            </w:rPr>
            <w:t xml:space="preserve"> </w:t>
          </w:r>
          <w:r>
            <w:rPr>
              <w:rFonts w:hint="eastAsia" w:ascii="宋体" w:hAnsi="宋体"/>
              <w:sz w:val="18"/>
            </w:rPr>
            <w:fldChar w:fldCharType="end"/>
          </w:r>
          <w:r>
            <w:rPr>
              <w:rFonts w:hint="eastAsia" w:ascii="宋体" w:hAnsi="宋体"/>
              <w:sz w:val="18"/>
            </w:rPr>
            <w:t xml:space="preserve"> </w:t>
          </w:r>
        </w:p>
      </w:tc>
      <w:tc>
        <w:tcPr>
          <w:tcW w:w="3163" w:type="dxa"/>
          <w:tcBorders>
            <w:top w:val="nil"/>
            <w:left w:val="nil"/>
            <w:bottom w:val="nil"/>
            <w:right w:val="nil"/>
          </w:tcBorders>
          <w:shd w:val="clear" w:color="auto" w:fill="FFFFFF"/>
        </w:tcPr>
        <w:p/>
      </w:tc>
    </w:tr>
  </w:tbl>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A1"/>
    <w:rsid w:val="00170CA1"/>
    <w:rsid w:val="00B070B1"/>
    <w:rsid w:val="00B1257A"/>
    <w:rsid w:val="2B57542F"/>
    <w:rsid w:val="38847E91"/>
    <w:rsid w:val="3B1206B1"/>
    <w:rsid w:val="3FCE5377"/>
    <w:rsid w:val="57AF0B89"/>
    <w:rsid w:val="58F1534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9" w:name="heading 4"/>
    <w:lsdException w:qFormat="1" w:uiPriority="99" w:name="heading 5"/>
    <w:lsdException w:qFormat="1" w:uiPriority="99" w:name="heading 6"/>
    <w:lsdException w:qFormat="1" w:uiPriority="99" w:name="heading 7"/>
    <w:lsdException w:qFormat="1" w:uiPriority="99" w:name="heading 8"/>
    <w:lsdException w:qFormat="1" w:uiPriority="99"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iPriority="99"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nhideWhenUsed="0"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nhideWhenUsed="0"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pPr>
      <w:widowControl w:val="0"/>
      <w:autoSpaceDE w:val="0"/>
      <w:autoSpaceDN w:val="0"/>
      <w:adjustRightInd w:val="0"/>
      <w:spacing w:after="0" w:line="240" w:lineRule="auto"/>
    </w:pPr>
    <w:rPr>
      <w:rFonts w:ascii="Arial" w:hAnsi="Arial" w:eastAsia="宋体" w:cs="Times New Roman"/>
      <w:color w:val="000000"/>
      <w:kern w:val="0"/>
      <w:sz w:val="24"/>
      <w:szCs w:val="24"/>
      <w:lang w:val="en-US" w:eastAsia="zh-CN" w:bidi="ar-SA"/>
      <w14:ligatures w14:val="standardContextual"/>
    </w:rPr>
  </w:style>
  <w:style w:type="paragraph" w:styleId="2">
    <w:name w:val="heading 1"/>
    <w:basedOn w:val="1"/>
    <w:next w:val="1"/>
    <w:link w:val="7"/>
    <w:qFormat/>
    <w:uiPriority w:val="99"/>
    <w:pPr>
      <w:outlineLvl w:val="0"/>
    </w:pPr>
    <w:rPr>
      <w:b/>
      <w:sz w:val="32"/>
    </w:rPr>
  </w:style>
  <w:style w:type="paragraph" w:styleId="3">
    <w:name w:val="heading 2"/>
    <w:basedOn w:val="1"/>
    <w:next w:val="1"/>
    <w:link w:val="8"/>
    <w:qFormat/>
    <w:uiPriority w:val="99"/>
    <w:pPr>
      <w:outlineLvl w:val="1"/>
    </w:pPr>
    <w:rPr>
      <w:b/>
      <w:i/>
      <w:sz w:val="28"/>
    </w:rPr>
  </w:style>
  <w:style w:type="paragraph" w:styleId="4">
    <w:name w:val="heading 3"/>
    <w:basedOn w:val="1"/>
    <w:next w:val="1"/>
    <w:link w:val="9"/>
    <w:qFormat/>
    <w:uiPriority w:val="99"/>
    <w:pPr>
      <w:outlineLvl w:val="2"/>
    </w:pPr>
    <w:rPr>
      <w:b/>
      <w:sz w:val="26"/>
    </w:rPr>
  </w:style>
  <w:style w:type="character" w:default="1" w:styleId="5">
    <w:name w:val="Default Paragraph Font"/>
    <w:unhideWhenUsed/>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character" w:customStyle="1" w:styleId="7">
    <w:name w:val="标题 1 字符"/>
    <w:basedOn w:val="5"/>
    <w:link w:val="2"/>
    <w:qFormat/>
    <w:uiPriority w:val="9"/>
    <w:rPr>
      <w:rFonts w:ascii="Arial" w:hAnsi="Arial" w:cs="Times New Roman"/>
      <w:b/>
      <w:bCs/>
      <w:color w:val="000000"/>
      <w:kern w:val="44"/>
      <w:sz w:val="44"/>
      <w:szCs w:val="44"/>
    </w:rPr>
  </w:style>
  <w:style w:type="character" w:customStyle="1" w:styleId="8">
    <w:name w:val="标题 2 字符"/>
    <w:basedOn w:val="5"/>
    <w:link w:val="3"/>
    <w:semiHidden/>
    <w:qFormat/>
    <w:uiPriority w:val="9"/>
    <w:rPr>
      <w:rFonts w:asciiTheme="majorHAnsi" w:hAnsiTheme="majorHAnsi" w:eastAsiaTheme="majorEastAsia" w:cstheme="majorBidi"/>
      <w:b/>
      <w:bCs/>
      <w:color w:val="000000"/>
      <w:kern w:val="0"/>
      <w:sz w:val="32"/>
      <w:szCs w:val="32"/>
    </w:rPr>
  </w:style>
  <w:style w:type="character" w:customStyle="1" w:styleId="9">
    <w:name w:val="标题 3 字符"/>
    <w:basedOn w:val="5"/>
    <w:link w:val="4"/>
    <w:semiHidden/>
    <w:uiPriority w:val="9"/>
    <w:rPr>
      <w:rFonts w:ascii="Arial" w:hAnsi="Arial" w:cs="Times New Roman"/>
      <w:b/>
      <w:bCs/>
      <w:color w:val="000000"/>
      <w:kern w:val="0"/>
      <w:sz w:val="32"/>
      <w:szCs w:val="32"/>
    </w:rPr>
  </w:style>
  <w:style w:type="paragraph" w:customStyle="1" w:styleId="10">
    <w:name w:val="1.正文"/>
    <w:basedOn w:val="1"/>
    <w:unhideWhenUsed/>
    <w:qFormat/>
    <w:uiPriority w:val="99"/>
    <w:rPr>
      <w:rFonts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564</Words>
  <Characters>3216</Characters>
  <Lines>26</Lines>
  <Paragraphs>7</Paragraphs>
  <TotalTime>8</TotalTime>
  <ScaleCrop>false</ScaleCrop>
  <LinksUpToDate>false</LinksUpToDate>
  <CharactersWithSpaces>3773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2026-01-22T01:14:00Z</dcterms:created>
  <dc:creator>dell</dc:creator>
  <cp:lastModifiedBy>Administrator</cp:lastModifiedBy>
  <dcterms:modified xsi:type="dcterms:W3CDTF">2026-01-22T01:54:46Z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